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64822" w:rsidR="009618A0" w:rsidP="00841B6C" w:rsidRDefault="009618A0" w14:paraId="6D20C88B" w14:textId="77777777">
      <w:pPr>
        <w:jc w:val="center"/>
        <w:rPr>
          <w:rFonts w:ascii="Aptos" w:hAnsi="Aptos" w:cstheme="majorHAnsi"/>
          <w:b/>
          <w:sz w:val="20"/>
          <w:szCs w:val="20"/>
        </w:rPr>
      </w:pPr>
    </w:p>
    <w:p w:rsidRPr="00D64822" w:rsidR="009B7C73" w:rsidP="00841B6C" w:rsidRDefault="005C7247" w14:paraId="1DBA616D" w14:textId="77777777">
      <w:pPr>
        <w:tabs>
          <w:tab w:val="left" w:pos="4265"/>
          <w:tab w:val="center" w:pos="7285"/>
        </w:tabs>
        <w:rPr>
          <w:rFonts w:ascii="Aptos" w:hAnsi="Aptos" w:cstheme="majorHAnsi"/>
          <w:b/>
          <w:sz w:val="20"/>
          <w:szCs w:val="20"/>
        </w:rPr>
      </w:pPr>
      <w:r w:rsidRPr="00D64822">
        <w:rPr>
          <w:rFonts w:ascii="Aptos" w:hAnsi="Aptos" w:cstheme="majorHAnsi"/>
          <w:b/>
          <w:sz w:val="20"/>
          <w:szCs w:val="20"/>
        </w:rPr>
        <w:tab/>
      </w:r>
      <w:r w:rsidRPr="00D64822">
        <w:rPr>
          <w:rFonts w:ascii="Aptos" w:hAnsi="Aptos" w:cstheme="majorHAnsi"/>
          <w:b/>
          <w:sz w:val="20"/>
          <w:szCs w:val="20"/>
        </w:rPr>
        <w:tab/>
      </w:r>
    </w:p>
    <w:p w:rsidRPr="00D64822" w:rsidR="00FC4682" w:rsidP="00841B6C" w:rsidRDefault="0067137A" w14:paraId="12385FDA" w14:textId="77777777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</w:rPr>
      </w:pPr>
      <w:r w:rsidRPr="00D64822">
        <w:rPr>
          <w:rFonts w:ascii="Aptos" w:hAnsi="Aptos" w:cstheme="majorHAnsi"/>
          <w:b/>
          <w:sz w:val="20"/>
          <w:szCs w:val="20"/>
        </w:rPr>
        <w:t xml:space="preserve">SPECYFIKACJA </w:t>
      </w:r>
      <w:r w:rsidRPr="00D64822" w:rsidR="008A666E">
        <w:rPr>
          <w:rFonts w:ascii="Aptos" w:hAnsi="Aptos" w:cstheme="majorHAnsi"/>
          <w:b/>
          <w:sz w:val="20"/>
          <w:szCs w:val="20"/>
          <w:lang w:eastAsia="pl-PL"/>
        </w:rPr>
        <w:t>TECHNICZNO-FUNKCJONALNA</w:t>
      </w:r>
    </w:p>
    <w:p w:rsidRPr="00D64822" w:rsidR="008A666E" w:rsidP="00D64822" w:rsidRDefault="00D64822" w14:paraId="17C1EC17" w14:textId="109CD0C3">
      <w:pPr>
        <w:pStyle w:val="Bezodstpw"/>
        <w:jc w:val="center"/>
        <w:rPr>
          <w:rFonts w:ascii="Aptos" w:hAnsi="Aptos" w:cstheme="majorHAnsi"/>
          <w:bCs/>
          <w:sz w:val="20"/>
        </w:rPr>
      </w:pPr>
      <w:r w:rsidRPr="00D64822">
        <w:rPr>
          <w:rFonts w:ascii="Aptos" w:hAnsi="Aptos" w:cstheme="majorHAnsi"/>
          <w:bCs/>
          <w:sz w:val="20"/>
        </w:rPr>
        <w:t xml:space="preserve">Pompa </w:t>
      </w:r>
      <w:proofErr w:type="spellStart"/>
      <w:r w:rsidRPr="00D64822">
        <w:rPr>
          <w:rFonts w:ascii="Aptos" w:hAnsi="Aptos" w:cstheme="majorHAnsi"/>
          <w:bCs/>
          <w:sz w:val="20"/>
        </w:rPr>
        <w:t>infuzyjno</w:t>
      </w:r>
      <w:proofErr w:type="spellEnd"/>
      <w:r w:rsidRPr="00D64822">
        <w:rPr>
          <w:rFonts w:ascii="Aptos" w:hAnsi="Aptos" w:cstheme="majorHAnsi"/>
          <w:bCs/>
          <w:sz w:val="20"/>
        </w:rPr>
        <w:t xml:space="preserve"> - </w:t>
      </w:r>
      <w:proofErr w:type="spellStart"/>
      <w:r w:rsidRPr="00D64822">
        <w:rPr>
          <w:rFonts w:ascii="Aptos" w:hAnsi="Aptos" w:cstheme="majorHAnsi"/>
          <w:bCs/>
          <w:sz w:val="20"/>
        </w:rPr>
        <w:t>strzykawkowa</w:t>
      </w:r>
      <w:proofErr w:type="spellEnd"/>
    </w:p>
    <w:p w:rsidRPr="00D64822" w:rsidR="00D64822" w:rsidP="00841B6C" w:rsidRDefault="00D64822" w14:paraId="37128189" w14:textId="77777777">
      <w:pPr>
        <w:pStyle w:val="Bezodstpw"/>
        <w:jc w:val="both"/>
        <w:rPr>
          <w:rFonts w:ascii="Aptos" w:hAnsi="Aptos" w:cstheme="majorHAnsi"/>
          <w:bCs/>
          <w:sz w:val="20"/>
        </w:rPr>
      </w:pPr>
    </w:p>
    <w:p w:rsidRPr="00D64822" w:rsidR="00D64822" w:rsidP="00D64822" w:rsidRDefault="00D64822" w14:paraId="6B349F0E" w14:textId="77777777">
      <w:pPr>
        <w:rPr>
          <w:rFonts w:ascii="Aptos" w:hAnsi="Aptos"/>
          <w:b/>
          <w:bCs/>
          <w:sz w:val="20"/>
          <w:szCs w:val="20"/>
        </w:rPr>
      </w:pPr>
      <w:r w:rsidRPr="00D64822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:rsidRPr="00D64822" w:rsidR="00D64822" w:rsidP="00841B6C" w:rsidRDefault="00D64822" w14:paraId="0F3B262F" w14:textId="77777777">
      <w:pPr>
        <w:pStyle w:val="Bezodstpw"/>
        <w:jc w:val="both"/>
        <w:rPr>
          <w:rFonts w:ascii="Aptos" w:hAnsi="Aptos" w:cstheme="majorHAnsi"/>
          <w:bCs/>
          <w:sz w:val="20"/>
        </w:rPr>
      </w:pPr>
    </w:p>
    <w:p w:rsidRPr="00D64822" w:rsidR="008D1481" w:rsidP="00841B6C" w:rsidRDefault="008D1481" w14:paraId="27BE2784" w14:textId="77777777">
      <w:pPr>
        <w:pStyle w:val="Bezodstpw"/>
        <w:jc w:val="both"/>
        <w:rPr>
          <w:rFonts w:ascii="Aptos" w:hAnsi="Aptos" w:cstheme="majorHAnsi"/>
          <w:sz w:val="20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6561"/>
        <w:gridCol w:w="2551"/>
        <w:gridCol w:w="4253"/>
      </w:tblGrid>
      <w:tr w:rsidRPr="00D64822" w:rsidR="008D1481" w:rsidTr="4AAFB3D1" w14:paraId="120E3C2F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64822" w:rsidR="008D1481" w:rsidP="00531883" w:rsidRDefault="008D1481" w14:paraId="44FEA8D4" w14:textId="7777777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6561" w:type="dxa"/>
            <w:tcMar/>
            <w:vAlign w:val="center"/>
          </w:tcPr>
          <w:p w:rsidRPr="00D64822" w:rsidR="008D1481" w:rsidP="00531883" w:rsidRDefault="008D1481" w14:paraId="789F977E" w14:textId="7777777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551" w:type="dxa"/>
            <w:tcMar/>
            <w:vAlign w:val="center"/>
          </w:tcPr>
          <w:p w:rsidRPr="00D64822" w:rsidR="008D1481" w:rsidP="00531883" w:rsidRDefault="008D1481" w14:paraId="1D83ABBF" w14:textId="7777777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tcMar/>
            <w:vAlign w:val="center"/>
          </w:tcPr>
          <w:p w:rsidRPr="00D64822" w:rsidR="008D1481" w:rsidP="00531883" w:rsidRDefault="008D1481" w14:paraId="5F60724F" w14:textId="7777777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Pr="00D64822" w:rsidR="008D1481" w:rsidTr="4AAFB3D1" w14:paraId="54F4FE22" w14:textId="77777777">
        <w:trPr>
          <w:jc w:val="center"/>
        </w:trPr>
        <w:tc>
          <w:tcPr>
            <w:tcW w:w="14029" w:type="dxa"/>
            <w:gridSpan w:val="4"/>
            <w:tcMar/>
            <w:vAlign w:val="center"/>
          </w:tcPr>
          <w:p w:rsidRPr="00D64822" w:rsidR="008D1481" w:rsidP="00531883" w:rsidRDefault="00417542" w14:paraId="472797BD" w14:textId="6083710E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Pompa </w:t>
            </w:r>
            <w:proofErr w:type="spellStart"/>
            <w:r w:rsidRPr="00D64822" w:rsidR="002F4F03">
              <w:rPr>
                <w:rFonts w:ascii="Aptos" w:hAnsi="Aptos" w:cstheme="majorHAnsi"/>
                <w:b/>
                <w:bCs/>
                <w:sz w:val="20"/>
                <w:szCs w:val="20"/>
              </w:rPr>
              <w:t>strzykawkowa</w:t>
            </w:r>
            <w:proofErr w:type="spellEnd"/>
            <w:r w:rsidRPr="00D64822" w:rsidR="002F4F03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Pr="00D64822" w:rsidR="00BD7078" w:rsidTr="4AAFB3D1" w14:paraId="2BFBEE62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8D1481" w:rsidP="00DD67DC" w:rsidRDefault="008D1481" w14:paraId="5A3CB02E" w14:textId="28C5730A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8D1481" w:rsidP="00AF6A93" w:rsidRDefault="003C609A" w14:paraId="653FAF4C" w14:textId="30ABA6F2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Pompa infuzyjna </w:t>
            </w:r>
            <w:proofErr w:type="spellStart"/>
            <w:r w:rsidRPr="00D64822">
              <w:rPr>
                <w:rFonts w:ascii="Aptos" w:hAnsi="Aptos"/>
                <w:sz w:val="20"/>
                <w:szCs w:val="20"/>
              </w:rPr>
              <w:t>strzykawkowa</w:t>
            </w:r>
            <w:proofErr w:type="spellEnd"/>
            <w:r w:rsidRPr="00D64822">
              <w:rPr>
                <w:rFonts w:ascii="Aptos" w:hAnsi="Aptos"/>
                <w:sz w:val="20"/>
                <w:szCs w:val="20"/>
              </w:rPr>
              <w:t xml:space="preserve"> do infuzji dożylnej lub podskórnej u pacjentów dorosłych, dzieci i noworodków w przerywanych lub ciągłych infuzjach płynów pozajelitowych, leków, krwi i preparatów krwiopochodnych.</w:t>
            </w:r>
          </w:p>
        </w:tc>
        <w:tc>
          <w:tcPr>
            <w:tcW w:w="2551" w:type="dxa"/>
            <w:tcMar/>
            <w:vAlign w:val="center"/>
          </w:tcPr>
          <w:p w:rsidRPr="00D64822" w:rsidR="008D1481" w:rsidP="00531883" w:rsidRDefault="003C609A" w14:paraId="5734E79A" w14:textId="7C4C102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8D1481" w:rsidP="00531883" w:rsidRDefault="008D1481" w14:paraId="23A5D57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C047D1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417542" w:rsidP="00DD67DC" w:rsidRDefault="00417542" w14:paraId="7AF4F47F" w14:textId="39DB152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</w:tcPr>
          <w:p w:rsidRPr="00D64822" w:rsidR="00417542" w:rsidP="00417542" w:rsidRDefault="003C609A" w14:paraId="2254B69B" w14:textId="044AFB03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Zasilanie sieciowe zgodne z warunkami obowiązującymi w Polsce, 100 V – 240 V ~ / 50–60 </w:t>
            </w:r>
            <w:proofErr w:type="spellStart"/>
            <w:r w:rsidRPr="00D64822">
              <w:rPr>
                <w:rFonts w:ascii="Aptos" w:hAnsi="Aptos"/>
                <w:sz w:val="20"/>
                <w:szCs w:val="20"/>
              </w:rPr>
              <w:t>Hz</w:t>
            </w:r>
            <w:proofErr w:type="spellEnd"/>
            <w:r w:rsidRPr="00D64822">
              <w:rPr>
                <w:rFonts w:ascii="Aptos" w:hAnsi="Aptos"/>
                <w:sz w:val="20"/>
                <w:szCs w:val="20"/>
              </w:rPr>
              <w:t xml:space="preserve"> z działającym uziemieniem </w:t>
            </w:r>
          </w:p>
        </w:tc>
        <w:tc>
          <w:tcPr>
            <w:tcW w:w="2551" w:type="dxa"/>
            <w:tcMar/>
            <w:vAlign w:val="center"/>
          </w:tcPr>
          <w:p w:rsidRPr="00D64822" w:rsidR="00417542" w:rsidP="00417542" w:rsidRDefault="003C609A" w14:paraId="26EE2590" w14:textId="6D3AB9A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417542" w:rsidP="00417542" w:rsidRDefault="00417542" w14:paraId="1923C33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3AA897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417542" w:rsidP="00DD67DC" w:rsidRDefault="00417542" w14:paraId="233F4448" w14:textId="24C7872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417542" w:rsidP="00417542" w:rsidRDefault="003C609A" w14:paraId="4D2B33BB" w14:textId="4F9D044E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Ochrona przed wilgocią</w:t>
            </w:r>
            <w:r w:rsidRPr="00D64822" w:rsidR="00563A55">
              <w:rPr>
                <w:rFonts w:ascii="Aptos" w:hAnsi="Aptos"/>
                <w:sz w:val="20"/>
                <w:szCs w:val="20"/>
              </w:rPr>
              <w:t xml:space="preserve"> </w:t>
            </w:r>
            <w:r w:rsidRPr="00D64822" w:rsidR="00563A55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wg EN 6060529 IP 32</w:t>
            </w:r>
          </w:p>
        </w:tc>
        <w:tc>
          <w:tcPr>
            <w:tcW w:w="2551" w:type="dxa"/>
            <w:tcMar/>
            <w:vAlign w:val="center"/>
          </w:tcPr>
          <w:p w:rsidRPr="00D64822" w:rsidR="00417542" w:rsidP="00417542" w:rsidRDefault="003C609A" w14:paraId="0D6C61E8" w14:textId="70811DD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417542" w:rsidP="00417542" w:rsidRDefault="00417542" w14:paraId="11F4B40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632387B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417542" w:rsidP="00DD67DC" w:rsidRDefault="00417542" w14:paraId="70679049" w14:textId="1598EB64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417542" w:rsidP="00417542" w:rsidRDefault="003C609A" w14:paraId="50173170" w14:textId="69F9AFC4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Zasilanie pompy bezpośrednio z sieci za pomocą kabla, zasilacz wbudowany wewnątrz urządzenia</w:t>
            </w:r>
          </w:p>
        </w:tc>
        <w:tc>
          <w:tcPr>
            <w:tcW w:w="2551" w:type="dxa"/>
            <w:tcMar/>
            <w:vAlign w:val="center"/>
          </w:tcPr>
          <w:p w:rsidRPr="00D64822" w:rsidR="00417542" w:rsidP="00417542" w:rsidRDefault="003C609A" w14:paraId="24D06557" w14:textId="3FD883E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417542" w:rsidP="00417542" w:rsidRDefault="00417542" w14:paraId="69CC714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3A01EF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3C609A" w:rsidP="00DD67DC" w:rsidRDefault="003C609A" w14:paraId="651B45A9" w14:textId="268B175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</w:tcPr>
          <w:p w:rsidRPr="00D64822" w:rsidR="00563A55" w:rsidP="00DD67DC" w:rsidRDefault="00563A55" w14:paraId="5D8B5589" w14:textId="026D1779">
            <w:pPr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Bateria: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a) typ: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litowo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-jonowa, inteligentna,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napięcie: min. 7,</w:t>
            </w:r>
            <w:r w:rsidRPr="00D64822" w:rsidR="002C0569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V, pojemność: min. 2,5 Ah,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c) wyświetlanie na ekranie informacji o pozostałym czasie pracy oraz poziomie naładowania baterii,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d) czas pracy baterii (przy pełnym naładowaniu):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nie mniej niż 13 godzin przy przepływie 25 ml/h,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nie mniej niż 7 godzin przy przepływie 1200 ml/h,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e) czas ładowania: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przy wyłączonym urządzeniu: max. 7 godzin,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przy włączonym urządzeniu: max. 21 godzin.</w:t>
            </w:r>
          </w:p>
          <w:p w:rsidRPr="00D64822" w:rsidR="003C609A" w:rsidP="003C609A" w:rsidRDefault="003C609A" w14:paraId="624C42BA" w14:textId="21FF6325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Zasilanie z akumulatora wewnętrznego pow. 13 godz. przy przepływie 25 ml/godz.  Czas ładowania baterii: pompa wyłączona pon. 7 godz.</w:t>
            </w:r>
          </w:p>
        </w:tc>
        <w:tc>
          <w:tcPr>
            <w:tcW w:w="2551" w:type="dxa"/>
            <w:tcMar/>
            <w:vAlign w:val="center"/>
          </w:tcPr>
          <w:p w:rsidRPr="00D64822" w:rsidR="003C609A" w:rsidP="003C609A" w:rsidRDefault="003C609A" w14:paraId="22A8CDB6" w14:textId="57B6E6CD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3C609A" w:rsidP="003C609A" w:rsidRDefault="003C609A" w14:paraId="40E8876C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3A8AB16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43482A55" w14:textId="410B77C4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</w:tcPr>
          <w:p w:rsidRPr="00D64822" w:rsidR="00563A55" w:rsidP="003C609A" w:rsidRDefault="00563A55" w14:paraId="428CE5FB" w14:textId="68B82D3A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Monochromatyczny, graficzny wyświetlacz LCD o wymiarach minimum 70 mm × 35 mm.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3C609A" w:rsidRDefault="002C0569" w14:paraId="325FA5A0" w14:textId="4F109F2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3C609A" w:rsidRDefault="00563A55" w14:paraId="1A61C3F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2482DDB1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681163EB" w14:textId="6FFE6A26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7E332F05" w14:textId="669E8D93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Urządzenie wyposażone w klawiaturę symboliczną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563A55" w14:paraId="0C9FCE4D" w14:textId="0A018CB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69BA20A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122640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20CFBBD3" w14:textId="0E3B2CBE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5C6550F0" w14:textId="2958C5F3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Lampka kontrolna zasilania oraz wskaźnik stanu naładowania akumulatora widoczne na płycie czołowej urządzenia.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563A55" w14:paraId="35DEE560" w14:textId="298DB6F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431253B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77C35A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18B0FA0A" w14:textId="0F302F1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58750C87" w14:textId="0F6E1585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Urządzenie wyposażone w automatyczną blokadę klawiatury; 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Blokada klawiatury z użyciem min. 4-ro cyfrowego kodu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563A55" w14:paraId="1D6E7F0C" w14:textId="0471CF7D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330CA75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9CB027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24F7E" w:rsidP="00DD67DC" w:rsidRDefault="00024F7E" w14:paraId="153C7026" w14:textId="468B7CCB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24F7E" w:rsidP="00563A55" w:rsidRDefault="00024F7E" w14:paraId="4AA73187" w14:textId="62D18D2C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Mocowanie strzykawki do czoła pompy, cała strzykawka stale widoczna podczas pracy pompy z pełną swobodą odczytania objętości ze skali strzykawki oraz możliwością wizualnej kontroli infuzji</w:t>
            </w:r>
          </w:p>
        </w:tc>
        <w:tc>
          <w:tcPr>
            <w:tcW w:w="2551" w:type="dxa"/>
            <w:tcMar/>
            <w:vAlign w:val="center"/>
          </w:tcPr>
          <w:p w:rsidRPr="00D64822" w:rsidR="00024F7E" w:rsidP="00563A55" w:rsidRDefault="00B2019D" w14:paraId="0B23EC13" w14:textId="770B5C1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24F7E" w:rsidP="00563A55" w:rsidRDefault="00024F7E" w14:paraId="7C245B2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8FAE16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1D10DDE3" w14:textId="703F3F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2B1CFE65" w14:textId="73204039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Mocowanie strzykawki możliwe zarówno przy włączonej jak i wyłączonej pompie – system obsługiwany całkowicie manualnie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B2019D" w14:paraId="1258339F" w14:textId="6964935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5CC126D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221ADA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0FAF1D55" w14:textId="457D97F2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4C050F3C" w14:textId="1A27CF70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Osłona tłoka strzykawki uniemożliwiająca wciśnięcie tłoka strzykawki zamontowanej w pompie.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B2019D" w14:paraId="792643F7" w14:textId="493DAF4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4C0A4C6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5302982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0E654008" w14:textId="7E3AE7AA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5D562B8D" w14:textId="6C349C5D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Manualny tłok. Zabezpieczenie przed przypadkowym podaniem leku (bolusa) podczas zakładania lub wymiany strzykawki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B2019D" w14:paraId="4DD1A659" w14:textId="3E74735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7EE7944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560C27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95C7D" w:rsidP="00DD67DC" w:rsidRDefault="00095C7D" w14:paraId="79396447" w14:textId="34D67346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95C7D" w:rsidP="00563A55" w:rsidRDefault="00095C7D" w14:paraId="29C8FCCB" w14:textId="234CE606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Uchwyt mocowania pompy do rury pionowej, kolumny lub poziomej szyny oraz rączka do przenoszenia na stałe wbudowane w pompę. Mocowanie pompy do statywów oraz stacji dokujących nie wymaga odłączania lub dołączania uchwytu mocującego lub jakichkolwiek innych części.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Wszechstronny zacisk zainstalowany na stałe z pompą, pozwalający na zamontowanie na poręczy lub stojaku.</w:t>
            </w:r>
          </w:p>
        </w:tc>
        <w:tc>
          <w:tcPr>
            <w:tcW w:w="2551" w:type="dxa"/>
            <w:tcMar/>
            <w:vAlign w:val="center"/>
          </w:tcPr>
          <w:p w:rsidRPr="00D64822" w:rsidR="00095C7D" w:rsidP="00563A55" w:rsidRDefault="00B2019D" w14:paraId="1E96BB1C" w14:textId="6723B826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95C7D" w:rsidP="00563A55" w:rsidRDefault="00095C7D" w14:paraId="1794DFF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6450392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50195D96" w14:textId="22110A7D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78283408" w14:textId="71DBF3F6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Pompa skalibrowana do pracy ze strzykawkami o objętości 5/6, 10/12, 20, 30/35 i 50/60 ml różnych typów oraz różnych producentów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B2019D" w14:paraId="3961105E" w14:textId="6D52288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5BBDAA8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9B11C3C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50AF330E" w14:textId="02CC30E2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6C468862" w14:textId="072C3593">
            <w:pPr>
              <w:spacing w:after="12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Zakres szybkości infuzji od   0,1 do 1200 ml/godz.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68EB11CF" w14:textId="60E934F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1D1715E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3AF00A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02830F71" w14:textId="77777777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78F424A9" w14:textId="49F79E5A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programowania infuzji: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a) co 0,01 w zakresie od 0,1 do 9,99 ml/ godz. 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co 0,1 w zakresie od   10 do 99,9 ml/h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c) co 1 w zakresie 100-1200ml/h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92F5398" w14:textId="10970FA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37A6C3B6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73580F1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6484AFAD" w14:textId="6E7C0EE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966F7C" w14:paraId="51546753" w14:textId="1A4E057B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szybkiego startu „umożliwiająca skrócenie czasu opóźnienia rozpoczęcia terapii, jeśli funkcja napełniania pompy nie jest używana.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Przy tej funkcji infuzja rozpoczyna się z wysoką prędkością przepływu (120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mL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/h) i trwa do momentu, gdy popychacz zaczyna przesuwać głowicę tłoka strzykawki - prędkość przepływu automatycznie przestawia się na zaprogramowaną wartość.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563A55" w14:paraId="2E0CAF13" w14:textId="62CE61F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37A5302A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FBBC85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520DF476" w14:textId="285505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7C684069" w14:textId="654DB5E9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Dokładność szybkości przepływu  co najmniej  3 %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67BEB6A" w14:textId="53A684E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1B03114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D58F687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6EF7CEE7" w14:textId="60BDC5B1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33C961C4" w14:textId="145E1353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Zmiana szybkości infuzji bez konieczności przerywania wlewu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FB85A9E" w14:textId="1B605E4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E79450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EF925C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759CADCB" w14:textId="6B55FF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16C430CC" w14:textId="6CBAB451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Programowanie infuzji w jednostkach na minutę, godzinę, wagę i powierzchnię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7F90B2BC" w14:textId="44E6F2C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D25D21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0D71A7B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58FAD3BB" w14:textId="5D414A8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29999769" w14:textId="4B635E70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Dostępne opcje przeliczania - powierzchni ciała pacjenta w m</w:t>
            </w: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² w</w:t>
            </w: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zakresie od 0,05 m² do 4,5 m², minimalny przyrost 0,01m²   oraz wagi, w zakresie od 0,25 do 350 kg z </w:t>
            </w: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dostępną  regulacją</w:t>
            </w: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co 10 gramów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966F7C" w14:paraId="04524EE5" w14:textId="5C01DC8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4AAFB3D1" w:rsidR="2DE2CC97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4A9600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9164CDC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4B82C8AE" w14:textId="2CD51EE5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7F94C42A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podawania bolusa:</w:t>
            </w:r>
          </w:p>
          <w:p w:rsidRPr="00D64822" w:rsidR="00966F7C" w:rsidP="00966F7C" w:rsidRDefault="00966F7C" w14:paraId="0936853C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Pr="00D64822" w:rsidR="00966F7C" w:rsidP="00966F7C" w:rsidRDefault="00966F7C" w14:paraId="0BA1F996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Urządzenie podaje bolus na żądanie bez konieczności przerywania trwającej infuzji,</w:t>
            </w:r>
          </w:p>
          <w:p w:rsidRPr="00D64822" w:rsidR="00966F7C" w:rsidP="00966F7C" w:rsidRDefault="00966F7C" w14:paraId="5FF0981A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Dostępne są co najmniej dwa tryby podania bolusa,</w:t>
            </w:r>
          </w:p>
          <w:p w:rsidRPr="00D64822" w:rsidR="00966F7C" w:rsidP="00966F7C" w:rsidRDefault="00966F7C" w14:paraId="7359950C" w14:textId="2C080885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c) Urządzenie umożliwia ręczne przesunięcie tłoka strzykawki z jednoczesnym zliczaniem i prezentacją podanej objętości na ekranie.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EB7E565" w14:textId="4BE2DBA6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7FE82D1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1E8F287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2C8CB5D1" w14:textId="070F08B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2D27EF64" w14:textId="0AC2ACCC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Bolus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Bolus bezpośredni: od 50 do 1200 ml/h (co 50 ml/h)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Bolus programowany i dawka nasycająca: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Objętość: od 0,1 do 99,9 ml / 1 s - 24 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Dawka: od 0,01 do 9999 jednostek dawki / 1 s - 24 h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70178859" w14:textId="46FD62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51D6A0F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6F9D83BE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24F7E" w:rsidP="00DD67DC" w:rsidRDefault="00024F7E" w14:paraId="32BB232F" w14:textId="66CE1FEE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24F7E" w:rsidP="00024F7E" w:rsidRDefault="00024F7E" w14:paraId="4085CA87" w14:textId="77777777">
            <w:pPr>
              <w:spacing w:after="12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System </w:t>
            </w:r>
            <w:proofErr w:type="spellStart"/>
            <w:r w:rsidRPr="00D64822">
              <w:rPr>
                <w:rFonts w:ascii="Aptos" w:hAnsi="Aptos"/>
                <w:sz w:val="20"/>
                <w:szCs w:val="20"/>
              </w:rPr>
              <w:t>antybolusowy</w:t>
            </w:r>
            <w:proofErr w:type="spellEnd"/>
            <w:r w:rsidRPr="00D64822">
              <w:rPr>
                <w:rFonts w:ascii="Aptos" w:hAnsi="Aptos"/>
                <w:sz w:val="20"/>
                <w:szCs w:val="20"/>
              </w:rPr>
              <w:t xml:space="preserve"> </w:t>
            </w:r>
          </w:p>
          <w:p w:rsidRPr="00D64822" w:rsidR="00024F7E" w:rsidP="00024F7E" w:rsidRDefault="00024F7E" w14:paraId="67B78125" w14:textId="77777777">
            <w:pPr>
              <w:spacing w:after="12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Znacznie ogranicza podanie leku w bolusie po otwarciu przewodu</w:t>
            </w:r>
          </w:p>
          <w:p w:rsidRPr="00D64822" w:rsidR="00024F7E" w:rsidP="00024F7E" w:rsidRDefault="00024F7E" w14:paraId="5041A08F" w14:textId="05E25C0F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≤0,35 ml maks. dla strzykawki 50 ml.</w:t>
            </w:r>
          </w:p>
        </w:tc>
        <w:tc>
          <w:tcPr>
            <w:tcW w:w="2551" w:type="dxa"/>
            <w:tcMar/>
            <w:vAlign w:val="center"/>
          </w:tcPr>
          <w:p w:rsidRPr="00D64822" w:rsidR="00024F7E" w:rsidP="00563A55" w:rsidRDefault="00B2019D" w14:paraId="00B969AA" w14:textId="73C4550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24F7E" w:rsidP="00563A55" w:rsidRDefault="00024F7E" w14:paraId="64175ED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33C6C6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2CD06A38" w14:textId="0CABEA4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3D98106A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Dawka nasycająca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Dawka/czas: od 0,01 do 9999 jedn. / 1 sekundę – 24 h. </w:t>
            </w:r>
          </w:p>
          <w:p w:rsidRPr="00D64822" w:rsidR="00966F7C" w:rsidP="00966F7C" w:rsidRDefault="00966F7C" w14:paraId="5287B744" w14:textId="0DBA780B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Automatyczne obliczanie szybkości.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3B8E8C23" w14:textId="3823FDCD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6A2EBC9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BB2CBD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1ED55191" w14:textId="3A480A4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78A6DB60" w14:textId="6D5036E2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Objętość do podania / dawka wlewu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Objętość: od 0,1 do 999 ml / Dawka: od 0,01 do 9999 jednostek dawki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343AD874" w14:textId="60FA33B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508EA73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614D0F3C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41FAD228" w14:textId="78BE0C44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4E5D1C60" w14:textId="17B7872B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Napełnianie: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3 tryby: obowiązkowy, nieobowiązkowy, zalecany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Szybkość przepływu: od 250 do 1200 ml/h, w zależności od pojemności strzykawki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204720" w14:paraId="65167287" w14:textId="1223093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29349536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B0894E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6E5E9F82" w14:textId="2DE996C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3F1A354A" w14:textId="4E0B9AF1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Urządzenie umożliwiające prowadzenie terapii infuzyjnej z wykorzystaniem różnych trybów pracy, w tym: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Tryb objętościowy: możliwość ustawienia szybkości infuzji w jednostkach ml/h,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Tryb dawkowania z przeliczeniami jednostek masy/czasu, w tym co najmniej: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•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/min, mg/min,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mUnit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/min, Unit/min,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/min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•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ng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/h, mg/h, g/h,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mmol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/h, Unit/h, kcal/h,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/h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mg/24h, kcal/24h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•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ng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/kg/h,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/kg/h, mg/kg/h, g/kg/h,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mUnit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/kg/h, Unit/kg/h,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/kg/h, 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ml/kg/h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mg/m²/h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• mg/kg/24h, g/kg/24h,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mmol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/kg/24h, ml/kg/24h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mg/m²/24h (inne jednostki możliwe zgodnie z protokołem leczniczym)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c) Możliwość ustawienia rozcieńczenia: w formacie jednostki/ml lub jednostki/objętość,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d) Możliwość prowadzenia infuzji z dawką nasycającą lub bez,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e) Tryb objętość/czas: możliwość zaprogramowania objętości od 0,1 do 99,9 ml oraz czasu infuzji w zakresie od 1 minuty do 96 godzin,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f) Tryb dawka/czas: możliwość zaprogramowania dawki w zakresie od 0,01 do 9999 jednostek oraz czasu infuzji od 1 minuty do 96 godzin,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g) Możliwość ustawienia limitu objętości: od 0,1 ml do co najmniej 999 ml.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6B7B237C" w14:textId="42CBF1A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E0D307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AF1B12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00396B72" w14:textId="754AE0F4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4D48E7" w14:paraId="35DBB647" w14:textId="59B63AB8">
            <w:pPr>
              <w:rPr>
                <w:rFonts w:ascii="Aptos" w:hAnsi="Aptos"/>
                <w:b/>
                <w:bCs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System ostrzegający o zmianach ciśnienia, dzięki któremu można przewidzieć ryzyko zatkania lub potencjalnego wycieku z przewodu do wlewu.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8EC8EAC" w14:textId="5503F7D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4D48E7" w:rsidP="00563A55" w:rsidRDefault="004D48E7" w14:paraId="362A2C49" w14:textId="586828ED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087C3D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6E1DA58E" w14:textId="54A4F07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02651F77" w14:textId="570420B8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Tryby ciśnienia: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Praca w trybie zmiennym lub z wyborem trzech wcześniej zdefiniowanych poziomów ciśnienia, w zakresie od 50 do 900 mmHg, z regulacją co najmniej: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co 25 mmHg w zakresie 50–250 mmHg,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co 50 mmHg w zakresie 250–900 mmHg,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lub równoważną, ciągłą regulacją w zakresie 50–900 mmHg.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b) Pompa wyposażona w dynamiczny system monitorowania ciśnienia,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otrzegający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o jego zmianach i potencjalnym ryzyku okluzji lub nieszczelności układu infuzyjnego.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7C74DAD7" w14:textId="4EA849E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29FC564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2FA9F32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54FD5BE1" w14:textId="56AA00F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16BAA839" w14:textId="6DAD8673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Ciągły pomiar ciśnienia w linii zobrazowany  w postaci piktogramu na ekranie pompy.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11D45240" w14:textId="71490279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196415E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056755C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067F98D2" w14:textId="52F2CCC1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68167226" w14:textId="5B76240A">
            <w:pPr>
              <w:rPr>
                <w:rFonts w:ascii="Aptos" w:hAnsi="Aptos"/>
                <w:b/>
                <w:bCs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 xml:space="preserve">Ustawianie poziomu ciśnienia okluzji – 22 poziomy,  min. 3 jednostki do wyboru – mmHg, </w:t>
            </w:r>
            <w:proofErr w:type="spellStart"/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>kPa</w:t>
            </w:r>
            <w:proofErr w:type="spellEnd"/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>, PSI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024F7E" w14:paraId="40260F0B" w14:textId="64D836B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tcMar/>
            <w:vAlign w:val="center"/>
          </w:tcPr>
          <w:p w:rsidRPr="00D64822" w:rsidR="002C0569" w:rsidP="00563A55" w:rsidRDefault="002C0569" w14:paraId="0F1C00C6" w14:textId="2EF70449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218EDD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54862072" w14:textId="47A5F296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966F7C" w:rsidRDefault="00D14E78" w14:paraId="38978896" w14:textId="1BDFAE43">
            <w:pPr>
              <w:spacing w:after="12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Sygnalizacja wahań ciśnienia w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lini</w:t>
            </w:r>
            <w:proofErr w:type="spellEnd"/>
          </w:p>
        </w:tc>
        <w:tc>
          <w:tcPr>
            <w:tcW w:w="2551" w:type="dxa"/>
            <w:tcMar/>
            <w:vAlign w:val="center"/>
          </w:tcPr>
          <w:p w:rsidRPr="00D64822" w:rsidR="00D14E78" w:rsidP="00563A55" w:rsidRDefault="00B2019D" w14:paraId="285FADCC" w14:textId="23EDB58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563A55" w:rsidRDefault="00D14E78" w14:paraId="799B33A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2133B0F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5FFFC5C5" w14:textId="4458429A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966F7C" w:rsidRDefault="00D14E78" w14:paraId="7252FD71" w14:textId="32CFFD21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KVO - Zróżnicowana prędkość KVO z możliwością programowania szybkości od 0,1 do 5 ml/h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563A55" w:rsidRDefault="0065380A" w14:paraId="74D1C0F3" w14:textId="652BD3A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563A55" w:rsidRDefault="00D14E78" w14:paraId="2DE40F8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2EC236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35D3507F" w14:textId="08FFED2F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966F7C" w:rsidRDefault="00D14E78" w14:paraId="06C3D98E" w14:textId="65245AEA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– przerwa (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standby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) w zakresie od 1</w:t>
            </w:r>
            <w:r w:rsidRPr="00D64822" w:rsidR="00204720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min do 24 godzin programowany co 1 minutę z funkcją automatycznego startu infuzji po zaprogramowanej przerwie.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563A55" w:rsidRDefault="0065380A" w14:paraId="227DBFA8" w14:textId="5E990E5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563A55" w:rsidRDefault="00D14E78" w14:paraId="4D2E43C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94A951A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5C18E603" w14:textId="5D3AD261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966F7C" w:rsidRDefault="00D14E78" w14:paraId="423CE1E6" w14:textId="31D597DA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Rejestr mogący pomieścić  do 1500 zdarzeń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563A55" w:rsidRDefault="0065380A" w14:paraId="34B3021B" w14:textId="6F6218B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563A55" w:rsidRDefault="00D14E78" w14:paraId="52649F9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2D2483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169C09A1" w14:textId="34A5B6D2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031FF572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Rejestr zdarzeń i historia pracy urządzenia:</w:t>
            </w:r>
          </w:p>
          <w:p w:rsidRPr="00D64822" w:rsidR="00D14E78" w:rsidP="00D14E78" w:rsidRDefault="00D14E78" w14:paraId="7C17C5B1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Urządzenie przechowuje plik rejestru (historię podań, zdarzeń i interakcji operatora) w pamięci wewnętrznej przez minimum 10 lat od momentu zapisu, niezależnie od stanu zasilania lub pracy akumulatora,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Historia pracy jest dostępna w formie graficznej na ekranie urządzenia i obejmuje co najmniej następujące dane: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objętość/dawkę infuzji,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ciśnienie w układzie infuzyjnym,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szybkość przepływu leku,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c) Dane prezentowane w sposób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umożliwiajacy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ich analizę przez personel medyczny.</w:t>
            </w:r>
          </w:p>
          <w:p w:rsidRPr="00D64822" w:rsidR="00D14E78" w:rsidP="00D14E78" w:rsidRDefault="00D14E78" w14:paraId="7B2A27B9" w14:textId="77777777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65380A" w14:paraId="1B42D3ED" w14:textId="64992EC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6DC8FE5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FF9276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765F5AB4" w14:textId="5463592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4327AC44" w14:textId="0FD10B7C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Urządzenie wyposażone w tryb dzienny i nocny z opcją przełączania między trybami ręcznie i automatycznie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65380A" w14:paraId="640896BA" w14:textId="75B5973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388B383C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0DEDB5B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779F76BA" w14:textId="025EFB5E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3B9AB83B" w14:textId="0EB62289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Komunikaty tekstowe w języku polskim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65380A" w14:paraId="399A703F" w14:textId="17252A7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74D0FF4B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08D576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95C7D" w:rsidP="00DD67DC" w:rsidRDefault="00095C7D" w14:paraId="502AB5EF" w14:textId="10DDF75B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95C7D" w:rsidP="00D14E78" w:rsidRDefault="00095C7D" w14:paraId="119283DE" w14:textId="536D3FDC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Wyświetlanie trendów objętości, szybkości infuzji oraz ciśnienia Urządzenie wyposażone  w funkcję pozwalającą na konfigurację ustawień oraz zawartości menu użytkownika w sposób dostosowany do jego potrzeb.</w:t>
            </w:r>
          </w:p>
        </w:tc>
        <w:tc>
          <w:tcPr>
            <w:tcW w:w="2551" w:type="dxa"/>
            <w:tcMar/>
            <w:vAlign w:val="center"/>
          </w:tcPr>
          <w:p w:rsidRPr="00D64822" w:rsidR="00095C7D" w:rsidP="00D14E78" w:rsidRDefault="0065380A" w14:paraId="3CD9A0A8" w14:textId="72C758B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95C7D" w:rsidP="00D14E78" w:rsidRDefault="00095C7D" w14:paraId="03F5320A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C2BBEB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95C7D" w:rsidP="00DD67DC" w:rsidRDefault="00095C7D" w14:paraId="751E2AC2" w14:textId="2E67060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95C7D" w:rsidP="00D14E78" w:rsidRDefault="00095C7D" w14:paraId="215B4745" w14:textId="7AA5C15F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Biblioteka leków, do </w:t>
            </w:r>
            <w:r w:rsidRPr="00D64822" w:rsidR="00204720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leków w min. 19 profilach wraz z protokołami infuzji (domyślne przepływy, dawki, prędkości bolusa, stężenia itp.)</w:t>
            </w:r>
          </w:p>
        </w:tc>
        <w:tc>
          <w:tcPr>
            <w:tcW w:w="2551" w:type="dxa"/>
            <w:tcMar/>
            <w:vAlign w:val="center"/>
          </w:tcPr>
          <w:p w:rsidRPr="00D64822" w:rsidR="00095C7D" w:rsidP="00D14E78" w:rsidRDefault="0065380A" w14:paraId="45C9E008" w14:textId="1D76E61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95C7D" w:rsidP="00D14E78" w:rsidRDefault="00095C7D" w14:paraId="6CA4750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191315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95C7D" w:rsidP="00DD67DC" w:rsidRDefault="00095C7D" w14:paraId="27B9271E" w14:textId="415DF15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95C7D" w:rsidP="00D14E78" w:rsidRDefault="00095C7D" w14:paraId="051E6459" w14:textId="1111F4FD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Sygnalizacja statusu pracy urządzenia: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Status pracy pompy sygnalizowany z wykorzystaniem wskaźników świetlnych w odrębnych kolorach, umożliwiających odróżnienie różnych stanów pracy: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kolor zielony – trwająca infuzja,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kolor pomarańczowy – alarmy o niskim i średnim priorytecie,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kolor czerwony – alarmy o wysokim priorytecie;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wskaźniki świetlne widoczne z odległości co najmniej 4 metrów.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Wszystkie alarmy sygnalizowane są za pomocą wskaźników świetlnych, komunikatów tekstowych, piktogramów oraz sygnałów dźwiękowych.</w:t>
            </w:r>
          </w:p>
        </w:tc>
        <w:tc>
          <w:tcPr>
            <w:tcW w:w="2551" w:type="dxa"/>
            <w:tcMar/>
            <w:vAlign w:val="center"/>
          </w:tcPr>
          <w:p w:rsidRPr="00D64822" w:rsidR="00095C7D" w:rsidP="00D14E78" w:rsidRDefault="0065380A" w14:paraId="79FC5184" w14:textId="49B78753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95C7D" w:rsidP="00D14E78" w:rsidRDefault="00095C7D" w14:paraId="5FD0351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23A1CF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0FFF0B78" w14:textId="4C013B93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5DB38048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Akustyczno-optyczny system alarmów i ostrzeżeń</w:t>
            </w:r>
          </w:p>
          <w:p w:rsidRPr="00D64822" w:rsidR="00D14E78" w:rsidP="00D14E78" w:rsidRDefault="00D14E78" w14:paraId="4A4D3740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pustej strzykawki</w:t>
            </w:r>
          </w:p>
          <w:p w:rsidRPr="00D64822" w:rsidR="00D14E78" w:rsidP="00D14E78" w:rsidRDefault="00D14E78" w14:paraId="0F4D7E13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przypominający –zatrzymana infuzja</w:t>
            </w:r>
          </w:p>
          <w:p w:rsidRPr="00D64822" w:rsidR="00D14E78" w:rsidP="00D14E78" w:rsidRDefault="00D14E78" w14:paraId="2AEA60FE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okluzji</w:t>
            </w:r>
          </w:p>
          <w:p w:rsidRPr="00D64822" w:rsidR="00D14E78" w:rsidP="00D14E78" w:rsidRDefault="00D14E78" w14:paraId="7C97ABB0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rozłączenia linii – spadku ciśnienia</w:t>
            </w:r>
          </w:p>
          <w:p w:rsidRPr="00D64822" w:rsidR="00D14E78" w:rsidP="00D14E78" w:rsidRDefault="00D14E78" w14:paraId="61A280B6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rozładowanego akumulatora</w:t>
            </w:r>
          </w:p>
          <w:p w:rsidRPr="00D64822" w:rsidR="00D14E78" w:rsidP="00D14E78" w:rsidRDefault="00D14E78" w14:paraId="3230B709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braku lub źle założonej strzykawki</w:t>
            </w:r>
          </w:p>
          <w:p w:rsidRPr="00D64822" w:rsidR="00D14E78" w:rsidP="00D14E78" w:rsidRDefault="00D14E78" w14:paraId="11EAA3D9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otwartego uchwytu komory strzykawki</w:t>
            </w:r>
          </w:p>
          <w:p w:rsidRPr="00D64822" w:rsidR="00D14E78" w:rsidP="00D14E78" w:rsidRDefault="00D14E78" w14:paraId="719C6B8F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informujący o uszkodzeniu urządzenia</w:t>
            </w:r>
          </w:p>
          <w:p w:rsidRPr="00D64822" w:rsidR="00D14E78" w:rsidP="00D14E78" w:rsidRDefault="00D14E78" w14:paraId="18D741D7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zbliżającego się rozładowania akumulatora</w:t>
            </w:r>
          </w:p>
          <w:p w:rsidRPr="00D64822" w:rsidR="00D14E78" w:rsidP="00D14E78" w:rsidRDefault="00D14E78" w14:paraId="1505965F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blokady klawiatury</w:t>
            </w:r>
          </w:p>
          <w:p w:rsidRPr="00D64822" w:rsidR="00D14E78" w:rsidP="00D14E78" w:rsidRDefault="00D14E78" w14:paraId="12667602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- Alarm niepotwierdzonego programowania infuzji </w:t>
            </w:r>
          </w:p>
          <w:p w:rsidRPr="00D64822" w:rsidR="00D14E78" w:rsidP="00D14E78" w:rsidRDefault="00D14E78" w14:paraId="4667BDF4" w14:textId="7FC9E6BE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bliskiego końca infuzji z możliwością zaprogramowania czasu w zakresie 1-30 minut,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D14E78" w14:paraId="14EF1ECC" w14:textId="5AEEADA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347D33D4" w14:textId="368AD84E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E10A5F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606146E3" w14:textId="6657587B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0EE962C9" w14:textId="706712B1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Możliwość łączenia pomp w moduły bez użycia dodatkowych elementów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D14E78" w14:paraId="2A7F7736" w14:textId="746BEBE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770D235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620B40D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24F7E" w:rsidP="00DD67DC" w:rsidRDefault="00024F7E" w14:paraId="4722D4F4" w14:textId="3FEA5DF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24F7E" w:rsidP="00D14E78" w:rsidRDefault="00024F7E" w14:paraId="1E506A5C" w14:textId="4E6F761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 w:eastAsia="Batang"/>
                <w:sz w:val="20"/>
                <w:szCs w:val="20"/>
              </w:rPr>
              <w:t>Możliwość komunikacji przez porty RS232</w:t>
            </w:r>
          </w:p>
        </w:tc>
        <w:tc>
          <w:tcPr>
            <w:tcW w:w="2551" w:type="dxa"/>
            <w:tcMar/>
            <w:vAlign w:val="center"/>
          </w:tcPr>
          <w:p w:rsidRPr="00D64822" w:rsidR="00024F7E" w:rsidP="00D14E78" w:rsidRDefault="0065380A" w14:paraId="0E0D1D79" w14:textId="1343258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24F7E" w:rsidP="00D14E78" w:rsidRDefault="00024F7E" w14:paraId="28305A7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B9F1D8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71723A1B" w14:textId="1D23D387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024F7E" w14:paraId="462C1F6F" w14:textId="5D9FE8B0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 xml:space="preserve">Możliwość montażu pomp do posiadanych przez oddziały szpitalne stacji dokujących </w:t>
            </w:r>
            <w:proofErr w:type="spellStart"/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>Agilia</w:t>
            </w:r>
            <w:proofErr w:type="spellEnd"/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 xml:space="preserve"> Link 4,6,8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65380A" w14:paraId="25BEC84E" w14:textId="0C3A343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2C0569" w:rsidP="00D14E78" w:rsidRDefault="002C0569" w14:paraId="23173027" w14:textId="556C257B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2B0056" w:rsidTr="4AAFB3D1" w14:paraId="076C548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2B0056" w:rsidP="00DD67DC" w:rsidRDefault="002B0056" w14:paraId="1C990E97" w14:textId="0276B31F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2B0056" w:rsidP="00D14E78" w:rsidRDefault="00D64822" w14:paraId="36D180F6" w14:textId="59CDEFA4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7C3D43">
              <w:rPr>
                <w:rFonts w:ascii="Aptos" w:hAnsi="Aptos" w:eastAsia="Calibri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551" w:type="dxa"/>
            <w:tcMar/>
            <w:vAlign w:val="center"/>
          </w:tcPr>
          <w:p w:rsidRPr="00D64822" w:rsidR="002B0056" w:rsidP="00D14E78" w:rsidRDefault="00D64822" w14:paraId="1E4D297F" w14:textId="57C51B0E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2B0056" w:rsidP="00D14E78" w:rsidRDefault="002B0056" w14:paraId="113DB598" w14:textId="77777777">
            <w:pPr>
              <w:jc w:val="center"/>
              <w:rPr>
                <w:rFonts w:ascii="Aptos" w:hAnsi="Aptos" w:eastAsia="Lucida Sans Unicode"/>
                <w:sz w:val="20"/>
                <w:szCs w:val="20"/>
                <w:lang w:eastAsia="zh-CN" w:bidi="hi-IN"/>
              </w:rPr>
            </w:pPr>
          </w:p>
        </w:tc>
      </w:tr>
      <w:tr w:rsidRPr="00D64822" w:rsidR="00D64822" w:rsidTr="4AAFB3D1" w14:paraId="789B6BAE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64822" w:rsidP="00DD67DC" w:rsidRDefault="00D64822" w14:paraId="2D041022" w14:textId="1EC24DE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7C3D43" w:rsidR="00D64822" w:rsidP="00D14E78" w:rsidRDefault="00D64822" w14:paraId="0FEBB54E" w14:textId="5028D26B">
            <w:pPr>
              <w:jc w:val="both"/>
              <w:rPr>
                <w:rFonts w:ascii="Aptos" w:hAnsi="Aptos" w:eastAsia="Calibri"/>
                <w:sz w:val="20"/>
                <w:szCs w:val="20"/>
                <w:lang w:eastAsia="hi-IN" w:bidi="hi-IN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551" w:type="dxa"/>
            <w:tcMar/>
            <w:vAlign w:val="center"/>
          </w:tcPr>
          <w:p w:rsidR="00D64822" w:rsidP="00D14E78" w:rsidRDefault="00D64822" w14:paraId="609739B7" w14:textId="17778D9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4AAFB3D1" w:rsidR="5E44C28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64822" w:rsidP="00D14E78" w:rsidRDefault="00D64822" w14:paraId="248E0D28" w14:textId="77777777">
            <w:pPr>
              <w:jc w:val="center"/>
              <w:rPr>
                <w:rFonts w:ascii="Aptos" w:hAnsi="Aptos" w:eastAsia="Lucida Sans Unicode"/>
                <w:sz w:val="20"/>
                <w:szCs w:val="20"/>
                <w:lang w:eastAsia="zh-CN" w:bidi="hi-IN"/>
              </w:rPr>
            </w:pPr>
          </w:p>
        </w:tc>
      </w:tr>
    </w:tbl>
    <w:p w:rsidRPr="00D64822" w:rsidR="000649B2" w:rsidP="00841B6C" w:rsidRDefault="000649B2" w14:paraId="23266DE8" w14:textId="409E4342">
      <w:pPr>
        <w:contextualSpacing/>
        <w:rPr>
          <w:rFonts w:ascii="Aptos" w:hAnsi="Aptos"/>
          <w:sz w:val="20"/>
          <w:szCs w:val="20"/>
        </w:rPr>
      </w:pPr>
    </w:p>
    <w:sectPr w:rsidRPr="00D64822" w:rsidR="000649B2" w:rsidSect="00D82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77925" w:rsidP="00655CBD" w:rsidRDefault="00577925" w14:paraId="54468112" w14:textId="77777777">
      <w:r>
        <w:separator/>
      </w:r>
    </w:p>
  </w:endnote>
  <w:endnote w:type="continuationSeparator" w:id="0">
    <w:p w:rsidR="00577925" w:rsidP="00655CBD" w:rsidRDefault="00577925" w14:paraId="38046A2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3B8" w:rsidRDefault="00EF03B8" w14:paraId="39229E6B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0046664"/>
      <w:docPartObj>
        <w:docPartGallery w:val="Page Numbers (Bottom of Page)"/>
        <w:docPartUnique/>
      </w:docPartObj>
      <w:rPr>
        <w:rFonts w:ascii="Calibri Light" w:hAnsi="Calibri Light" w:eastAsia="" w:cs="Calibri Light" w:asciiTheme="majorAscii" w:hAnsiTheme="majorAscii" w:eastAsiaTheme="majorEastAsia" w:cstheme="majorAscii"/>
        <w:lang w:val="pl-PL"/>
      </w:rPr>
    </w:sdtPr>
    <w:sdtEndPr>
      <w:rPr>
        <w:rFonts w:ascii="Calibri Light" w:hAnsi="Calibri Light" w:eastAsia="" w:cs="Calibri Light" w:asciiTheme="majorAscii" w:hAnsiTheme="majorAscii" w:eastAsiaTheme="majorEastAsia" w:cstheme="majorAscii"/>
        <w:lang w:val="pl-PL"/>
      </w:rPr>
    </w:sdtEndPr>
    <w:sdtContent>
      <w:p w:rsidRPr="00FC50E6" w:rsidR="005D5182" w:rsidRDefault="005D5182" w14:paraId="0DB76789" w14:textId="77777777">
        <w:pPr>
          <w:pStyle w:val="Stopka"/>
          <w:jc w:val="right"/>
          <w:rPr>
            <w:rFonts w:asciiTheme="majorHAnsi" w:hAnsiTheme="majorHAnsi" w:eastAsiaTheme="majorEastAsia" w:cstheme="majorHAnsi"/>
          </w:rPr>
        </w:pPr>
        <w:r w:rsidRPr="00FC50E6">
          <w:rPr>
            <w:rFonts w:asciiTheme="majorHAnsi" w:hAnsiTheme="majorHAnsi" w:eastAsiaTheme="majorEastAsia" w:cstheme="majorHAnsi"/>
            <w:lang w:val="pl-PL"/>
          </w:rPr>
          <w:t xml:space="preserve">str. </w:t>
        </w:r>
        <w:r w:rsidRPr="00FC50E6">
          <w:rPr>
            <w:rFonts w:asciiTheme="majorHAnsi" w:hAnsiTheme="majorHAnsi" w:eastAsiaTheme="minorEastAsia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hAnsiTheme="majorHAnsi" w:eastAsiaTheme="minorEastAsia" w:cstheme="majorHAnsi"/>
          </w:rPr>
          <w:fldChar w:fldCharType="separate"/>
        </w:r>
        <w:r w:rsidRPr="00DD5A39" w:rsidR="00DD5A39">
          <w:rPr>
            <w:rFonts w:asciiTheme="majorHAnsi" w:hAnsiTheme="majorHAnsi" w:eastAsiaTheme="majorEastAsia" w:cstheme="majorHAnsi"/>
            <w:noProof/>
            <w:lang w:val="pl-PL"/>
          </w:rPr>
          <w:t>2</w:t>
        </w:r>
        <w:r w:rsidRPr="00FC50E6">
          <w:rPr>
            <w:rFonts w:asciiTheme="majorHAnsi" w:hAnsiTheme="majorHAnsi" w:eastAsiaTheme="majorEastAsia" w:cstheme="majorHAnsi"/>
          </w:rPr>
          <w:fldChar w:fldCharType="end"/>
        </w:r>
      </w:p>
    </w:sdtContent>
  </w:sdt>
  <w:p w:rsidR="005D5182" w:rsidRDefault="005D5182" w14:paraId="500BBCD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3B8" w:rsidRDefault="00EF03B8" w14:paraId="0917D60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77925" w:rsidP="00655CBD" w:rsidRDefault="00577925" w14:paraId="4D9A7958" w14:textId="77777777">
      <w:r>
        <w:separator/>
      </w:r>
    </w:p>
  </w:footnote>
  <w:footnote w:type="continuationSeparator" w:id="0">
    <w:p w:rsidR="00577925" w:rsidP="00655CBD" w:rsidRDefault="00577925" w14:paraId="10E2E4E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3B8" w:rsidRDefault="00EF03B8" w14:paraId="30650FC8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3B8" w:rsidRDefault="00EF03B8" w14:paraId="1E9409D9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827AC" w:rsidP="00D827AC" w:rsidRDefault="00EF03B8" w14:paraId="23C88252" w14:textId="727ADC94">
    <w:pPr>
      <w:jc w:val="both"/>
    </w:pPr>
    <w:r>
      <w:rPr>
        <w:noProof/>
      </w:rPr>
      <w:drawing>
        <wp:inline distT="0" distB="0" distL="0" distR="0" wp14:anchorId="6E6D02A7" wp14:editId="670BBD1F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2C085E6F"/>
    <w:multiLevelType w:val="multilevel"/>
    <w:tmpl w:val="4AB2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  <w:sz w:val="20"/>
      </w:rPr>
    </w:lvl>
  </w:abstractNum>
  <w:abstractNum w:abstractNumId="10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0140896"/>
    <w:multiLevelType w:val="hybridMultilevel"/>
    <w:tmpl w:val="2ED040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7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2"/>
  </w:num>
  <w:num w:numId="4" w16cid:durableId="1241674174">
    <w:abstractNumId w:val="10"/>
  </w:num>
  <w:num w:numId="5" w16cid:durableId="1408959481">
    <w:abstractNumId w:val="3"/>
  </w:num>
  <w:num w:numId="6" w16cid:durableId="134614953">
    <w:abstractNumId w:val="17"/>
  </w:num>
  <w:num w:numId="7" w16cid:durableId="1159997613">
    <w:abstractNumId w:val="4"/>
  </w:num>
  <w:num w:numId="8" w16cid:durableId="285551449">
    <w:abstractNumId w:val="18"/>
  </w:num>
  <w:num w:numId="9" w16cid:durableId="1906640541">
    <w:abstractNumId w:val="7"/>
  </w:num>
  <w:num w:numId="10" w16cid:durableId="697387419">
    <w:abstractNumId w:val="21"/>
  </w:num>
  <w:num w:numId="11" w16cid:durableId="698631529">
    <w:abstractNumId w:val="20"/>
  </w:num>
  <w:num w:numId="12" w16cid:durableId="2052223779">
    <w:abstractNumId w:val="15"/>
  </w:num>
  <w:num w:numId="13" w16cid:durableId="1485973150">
    <w:abstractNumId w:val="19"/>
  </w:num>
  <w:num w:numId="14" w16cid:durableId="1990549973">
    <w:abstractNumId w:val="12"/>
  </w:num>
  <w:num w:numId="15" w16cid:durableId="263076319">
    <w:abstractNumId w:val="14"/>
  </w:num>
  <w:num w:numId="16" w16cid:durableId="493959183">
    <w:abstractNumId w:val="11"/>
  </w:num>
  <w:num w:numId="17" w16cid:durableId="1707216109">
    <w:abstractNumId w:val="8"/>
  </w:num>
  <w:num w:numId="18" w16cid:durableId="1045830503">
    <w:abstractNumId w:val="16"/>
  </w:num>
  <w:num w:numId="19" w16cid:durableId="948003846">
    <w:abstractNumId w:val="5"/>
  </w:num>
  <w:num w:numId="20" w16cid:durableId="1429616280">
    <w:abstractNumId w:val="6"/>
  </w:num>
  <w:num w:numId="21" w16cid:durableId="1450054644">
    <w:abstractNumId w:val="1"/>
  </w:num>
  <w:num w:numId="22" w16cid:durableId="2026442082">
    <w:abstractNumId w:val="9"/>
  </w:num>
  <w:num w:numId="23" w16cid:durableId="1775898509">
    <w:abstractNumId w:val="13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7B70"/>
    <w:rsid w:val="00024F7E"/>
    <w:rsid w:val="00026CC0"/>
    <w:rsid w:val="00053E85"/>
    <w:rsid w:val="00054D2A"/>
    <w:rsid w:val="00064801"/>
    <w:rsid w:val="000649B2"/>
    <w:rsid w:val="000750A4"/>
    <w:rsid w:val="000864C2"/>
    <w:rsid w:val="00092BF7"/>
    <w:rsid w:val="00095C7D"/>
    <w:rsid w:val="000A46F0"/>
    <w:rsid w:val="000A4D8D"/>
    <w:rsid w:val="000A6DA6"/>
    <w:rsid w:val="000B3348"/>
    <w:rsid w:val="000E0E18"/>
    <w:rsid w:val="000E11E6"/>
    <w:rsid w:val="000E41AA"/>
    <w:rsid w:val="000E43B2"/>
    <w:rsid w:val="000F0406"/>
    <w:rsid w:val="000F6EFE"/>
    <w:rsid w:val="00106DEE"/>
    <w:rsid w:val="0012562D"/>
    <w:rsid w:val="0013066A"/>
    <w:rsid w:val="0014005B"/>
    <w:rsid w:val="00141BD7"/>
    <w:rsid w:val="00151A77"/>
    <w:rsid w:val="00152775"/>
    <w:rsid w:val="00152864"/>
    <w:rsid w:val="00160470"/>
    <w:rsid w:val="0016462A"/>
    <w:rsid w:val="00172F66"/>
    <w:rsid w:val="00191095"/>
    <w:rsid w:val="001A71AB"/>
    <w:rsid w:val="001B1360"/>
    <w:rsid w:val="001D1833"/>
    <w:rsid w:val="001D2150"/>
    <w:rsid w:val="001D53CA"/>
    <w:rsid w:val="001D5870"/>
    <w:rsid w:val="001E01E9"/>
    <w:rsid w:val="001E354B"/>
    <w:rsid w:val="001F368B"/>
    <w:rsid w:val="001F480C"/>
    <w:rsid w:val="001F59FC"/>
    <w:rsid w:val="002021A0"/>
    <w:rsid w:val="00204720"/>
    <w:rsid w:val="00210608"/>
    <w:rsid w:val="00214E69"/>
    <w:rsid w:val="002173BD"/>
    <w:rsid w:val="0022269D"/>
    <w:rsid w:val="00230183"/>
    <w:rsid w:val="00235617"/>
    <w:rsid w:val="00237D2E"/>
    <w:rsid w:val="00246EE0"/>
    <w:rsid w:val="00250480"/>
    <w:rsid w:val="00254800"/>
    <w:rsid w:val="002607AE"/>
    <w:rsid w:val="002850E5"/>
    <w:rsid w:val="0029009B"/>
    <w:rsid w:val="0029123B"/>
    <w:rsid w:val="002966D1"/>
    <w:rsid w:val="00296E00"/>
    <w:rsid w:val="002A4C44"/>
    <w:rsid w:val="002B0056"/>
    <w:rsid w:val="002B3D9F"/>
    <w:rsid w:val="002C0569"/>
    <w:rsid w:val="002D0A32"/>
    <w:rsid w:val="002D5008"/>
    <w:rsid w:val="002D5A4F"/>
    <w:rsid w:val="002E2D31"/>
    <w:rsid w:val="002E612A"/>
    <w:rsid w:val="002E72CF"/>
    <w:rsid w:val="002F1BA8"/>
    <w:rsid w:val="002F3C77"/>
    <w:rsid w:val="002F4F03"/>
    <w:rsid w:val="003007FB"/>
    <w:rsid w:val="0031748E"/>
    <w:rsid w:val="0032099B"/>
    <w:rsid w:val="0033367F"/>
    <w:rsid w:val="00372B5E"/>
    <w:rsid w:val="00373207"/>
    <w:rsid w:val="00381A34"/>
    <w:rsid w:val="00382C28"/>
    <w:rsid w:val="003839CD"/>
    <w:rsid w:val="003940DF"/>
    <w:rsid w:val="003B24DA"/>
    <w:rsid w:val="003B32C2"/>
    <w:rsid w:val="003B5444"/>
    <w:rsid w:val="003C609A"/>
    <w:rsid w:val="003D3A2A"/>
    <w:rsid w:val="003D698A"/>
    <w:rsid w:val="003E1107"/>
    <w:rsid w:val="003E24F3"/>
    <w:rsid w:val="003E38BA"/>
    <w:rsid w:val="003E5E84"/>
    <w:rsid w:val="003E6AA9"/>
    <w:rsid w:val="003F2E6D"/>
    <w:rsid w:val="003F3536"/>
    <w:rsid w:val="003F5301"/>
    <w:rsid w:val="004059C6"/>
    <w:rsid w:val="00417542"/>
    <w:rsid w:val="00425E9D"/>
    <w:rsid w:val="00426D22"/>
    <w:rsid w:val="00430D02"/>
    <w:rsid w:val="004400A6"/>
    <w:rsid w:val="00440FC1"/>
    <w:rsid w:val="004433E4"/>
    <w:rsid w:val="00470E6D"/>
    <w:rsid w:val="00474966"/>
    <w:rsid w:val="00484F0D"/>
    <w:rsid w:val="00495A84"/>
    <w:rsid w:val="004A4072"/>
    <w:rsid w:val="004A6F68"/>
    <w:rsid w:val="004B1521"/>
    <w:rsid w:val="004B2F4C"/>
    <w:rsid w:val="004B4966"/>
    <w:rsid w:val="004C4575"/>
    <w:rsid w:val="004C48AC"/>
    <w:rsid w:val="004C5586"/>
    <w:rsid w:val="004C5C73"/>
    <w:rsid w:val="004D456E"/>
    <w:rsid w:val="004D48E7"/>
    <w:rsid w:val="004D574B"/>
    <w:rsid w:val="004E0CE5"/>
    <w:rsid w:val="004E268D"/>
    <w:rsid w:val="005000B1"/>
    <w:rsid w:val="00504FB1"/>
    <w:rsid w:val="005072D8"/>
    <w:rsid w:val="00510CBE"/>
    <w:rsid w:val="00523166"/>
    <w:rsid w:val="00524D86"/>
    <w:rsid w:val="00537323"/>
    <w:rsid w:val="00540786"/>
    <w:rsid w:val="00542586"/>
    <w:rsid w:val="00545D5E"/>
    <w:rsid w:val="0056069C"/>
    <w:rsid w:val="00563A55"/>
    <w:rsid w:val="0056644C"/>
    <w:rsid w:val="005738E7"/>
    <w:rsid w:val="005756FB"/>
    <w:rsid w:val="00577925"/>
    <w:rsid w:val="00580D63"/>
    <w:rsid w:val="00581E87"/>
    <w:rsid w:val="00586D49"/>
    <w:rsid w:val="00596C6A"/>
    <w:rsid w:val="005C7247"/>
    <w:rsid w:val="005D5182"/>
    <w:rsid w:val="005E1DF1"/>
    <w:rsid w:val="005F6FE1"/>
    <w:rsid w:val="006150CD"/>
    <w:rsid w:val="00617379"/>
    <w:rsid w:val="0063020C"/>
    <w:rsid w:val="0063118A"/>
    <w:rsid w:val="00636428"/>
    <w:rsid w:val="00645B94"/>
    <w:rsid w:val="0065380A"/>
    <w:rsid w:val="00655CBD"/>
    <w:rsid w:val="00664EE2"/>
    <w:rsid w:val="00665271"/>
    <w:rsid w:val="00667CBD"/>
    <w:rsid w:val="0067137A"/>
    <w:rsid w:val="00682EAD"/>
    <w:rsid w:val="006955B2"/>
    <w:rsid w:val="006A10C3"/>
    <w:rsid w:val="006A2DFA"/>
    <w:rsid w:val="006A3A0D"/>
    <w:rsid w:val="006A3A62"/>
    <w:rsid w:val="006A431E"/>
    <w:rsid w:val="006A7649"/>
    <w:rsid w:val="006B3532"/>
    <w:rsid w:val="006B4C07"/>
    <w:rsid w:val="006B5684"/>
    <w:rsid w:val="006C470E"/>
    <w:rsid w:val="006D4D34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20A5B"/>
    <w:rsid w:val="00724664"/>
    <w:rsid w:val="007409BA"/>
    <w:rsid w:val="00741275"/>
    <w:rsid w:val="0074555E"/>
    <w:rsid w:val="007458C7"/>
    <w:rsid w:val="007640DC"/>
    <w:rsid w:val="00764889"/>
    <w:rsid w:val="0077053E"/>
    <w:rsid w:val="007921FC"/>
    <w:rsid w:val="007B12B3"/>
    <w:rsid w:val="007C0526"/>
    <w:rsid w:val="007C3EB3"/>
    <w:rsid w:val="007D589F"/>
    <w:rsid w:val="007E2EF2"/>
    <w:rsid w:val="007F4CBE"/>
    <w:rsid w:val="00805EBD"/>
    <w:rsid w:val="00806FBC"/>
    <w:rsid w:val="00814BEA"/>
    <w:rsid w:val="00824155"/>
    <w:rsid w:val="0082443F"/>
    <w:rsid w:val="00832336"/>
    <w:rsid w:val="00833345"/>
    <w:rsid w:val="00841365"/>
    <w:rsid w:val="00841B6C"/>
    <w:rsid w:val="00843963"/>
    <w:rsid w:val="00854CCE"/>
    <w:rsid w:val="00862083"/>
    <w:rsid w:val="008710F1"/>
    <w:rsid w:val="0087449E"/>
    <w:rsid w:val="00875CE3"/>
    <w:rsid w:val="0087607F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D0A8A"/>
    <w:rsid w:val="008D1481"/>
    <w:rsid w:val="008D1571"/>
    <w:rsid w:val="008D3CAD"/>
    <w:rsid w:val="008D64C9"/>
    <w:rsid w:val="008E433C"/>
    <w:rsid w:val="008F5B03"/>
    <w:rsid w:val="00906AA4"/>
    <w:rsid w:val="00907249"/>
    <w:rsid w:val="00920E99"/>
    <w:rsid w:val="00921397"/>
    <w:rsid w:val="009250F2"/>
    <w:rsid w:val="0092774F"/>
    <w:rsid w:val="0093282C"/>
    <w:rsid w:val="00932D8F"/>
    <w:rsid w:val="009351BE"/>
    <w:rsid w:val="00937031"/>
    <w:rsid w:val="009375EE"/>
    <w:rsid w:val="0094264B"/>
    <w:rsid w:val="009511D3"/>
    <w:rsid w:val="00952968"/>
    <w:rsid w:val="00961780"/>
    <w:rsid w:val="009618A0"/>
    <w:rsid w:val="00966F7C"/>
    <w:rsid w:val="00974DA8"/>
    <w:rsid w:val="00976D79"/>
    <w:rsid w:val="0098440B"/>
    <w:rsid w:val="0099039F"/>
    <w:rsid w:val="00990932"/>
    <w:rsid w:val="009A2883"/>
    <w:rsid w:val="009B2F03"/>
    <w:rsid w:val="009B7C73"/>
    <w:rsid w:val="009F1963"/>
    <w:rsid w:val="00A0721A"/>
    <w:rsid w:val="00A073A1"/>
    <w:rsid w:val="00A304BE"/>
    <w:rsid w:val="00A30728"/>
    <w:rsid w:val="00A34518"/>
    <w:rsid w:val="00A478EC"/>
    <w:rsid w:val="00A53ADE"/>
    <w:rsid w:val="00A56842"/>
    <w:rsid w:val="00A67B9C"/>
    <w:rsid w:val="00A70B4E"/>
    <w:rsid w:val="00A71364"/>
    <w:rsid w:val="00A76FDB"/>
    <w:rsid w:val="00A86904"/>
    <w:rsid w:val="00A97744"/>
    <w:rsid w:val="00AA2D4A"/>
    <w:rsid w:val="00AB72FF"/>
    <w:rsid w:val="00AC3537"/>
    <w:rsid w:val="00AD1FFB"/>
    <w:rsid w:val="00AD7F3C"/>
    <w:rsid w:val="00AE0874"/>
    <w:rsid w:val="00AF6A93"/>
    <w:rsid w:val="00B16974"/>
    <w:rsid w:val="00B2019D"/>
    <w:rsid w:val="00B24653"/>
    <w:rsid w:val="00B25EE8"/>
    <w:rsid w:val="00B3077D"/>
    <w:rsid w:val="00B4244F"/>
    <w:rsid w:val="00B4731A"/>
    <w:rsid w:val="00B6096D"/>
    <w:rsid w:val="00B72ACC"/>
    <w:rsid w:val="00B90D55"/>
    <w:rsid w:val="00B9164D"/>
    <w:rsid w:val="00BC34E5"/>
    <w:rsid w:val="00BC422F"/>
    <w:rsid w:val="00BD3A53"/>
    <w:rsid w:val="00BD7078"/>
    <w:rsid w:val="00BE1167"/>
    <w:rsid w:val="00BE288C"/>
    <w:rsid w:val="00BF4947"/>
    <w:rsid w:val="00BF760D"/>
    <w:rsid w:val="00C078B0"/>
    <w:rsid w:val="00C11802"/>
    <w:rsid w:val="00C1184A"/>
    <w:rsid w:val="00C14792"/>
    <w:rsid w:val="00C340FF"/>
    <w:rsid w:val="00C52EC2"/>
    <w:rsid w:val="00C538A7"/>
    <w:rsid w:val="00C55D48"/>
    <w:rsid w:val="00C600F2"/>
    <w:rsid w:val="00C62F73"/>
    <w:rsid w:val="00C64760"/>
    <w:rsid w:val="00C66EAA"/>
    <w:rsid w:val="00C752E9"/>
    <w:rsid w:val="00C76E1A"/>
    <w:rsid w:val="00C8560C"/>
    <w:rsid w:val="00C865A5"/>
    <w:rsid w:val="00C905AA"/>
    <w:rsid w:val="00CA48E4"/>
    <w:rsid w:val="00CC7038"/>
    <w:rsid w:val="00CD4649"/>
    <w:rsid w:val="00CD47CB"/>
    <w:rsid w:val="00CD61CF"/>
    <w:rsid w:val="00CE30C1"/>
    <w:rsid w:val="00CE4ED7"/>
    <w:rsid w:val="00D0179E"/>
    <w:rsid w:val="00D027C9"/>
    <w:rsid w:val="00D10319"/>
    <w:rsid w:val="00D14E78"/>
    <w:rsid w:val="00D232F6"/>
    <w:rsid w:val="00D2356C"/>
    <w:rsid w:val="00D3004F"/>
    <w:rsid w:val="00D322C3"/>
    <w:rsid w:val="00D34D84"/>
    <w:rsid w:val="00D40699"/>
    <w:rsid w:val="00D60093"/>
    <w:rsid w:val="00D64822"/>
    <w:rsid w:val="00D827AC"/>
    <w:rsid w:val="00D87716"/>
    <w:rsid w:val="00D9290F"/>
    <w:rsid w:val="00D9402F"/>
    <w:rsid w:val="00DA41B9"/>
    <w:rsid w:val="00DB00FA"/>
    <w:rsid w:val="00DB29EE"/>
    <w:rsid w:val="00DC191F"/>
    <w:rsid w:val="00DC225C"/>
    <w:rsid w:val="00DD1079"/>
    <w:rsid w:val="00DD1191"/>
    <w:rsid w:val="00DD390D"/>
    <w:rsid w:val="00DD5A39"/>
    <w:rsid w:val="00DD67DC"/>
    <w:rsid w:val="00DE0341"/>
    <w:rsid w:val="00DF4292"/>
    <w:rsid w:val="00E00D06"/>
    <w:rsid w:val="00E022C5"/>
    <w:rsid w:val="00E20DA4"/>
    <w:rsid w:val="00E27458"/>
    <w:rsid w:val="00E30022"/>
    <w:rsid w:val="00E3285B"/>
    <w:rsid w:val="00E3341F"/>
    <w:rsid w:val="00E51601"/>
    <w:rsid w:val="00E575FD"/>
    <w:rsid w:val="00E610F1"/>
    <w:rsid w:val="00E73AE1"/>
    <w:rsid w:val="00E82695"/>
    <w:rsid w:val="00E967F7"/>
    <w:rsid w:val="00EA4EFE"/>
    <w:rsid w:val="00EB4F00"/>
    <w:rsid w:val="00EC757D"/>
    <w:rsid w:val="00ED3319"/>
    <w:rsid w:val="00EF03B8"/>
    <w:rsid w:val="00F06B90"/>
    <w:rsid w:val="00F1059B"/>
    <w:rsid w:val="00F11D70"/>
    <w:rsid w:val="00F215C8"/>
    <w:rsid w:val="00F27262"/>
    <w:rsid w:val="00F33FAE"/>
    <w:rsid w:val="00F36B42"/>
    <w:rsid w:val="00F519D3"/>
    <w:rsid w:val="00F7097F"/>
    <w:rsid w:val="00F80F46"/>
    <w:rsid w:val="00FA46B3"/>
    <w:rsid w:val="00FA50B7"/>
    <w:rsid w:val="00FC1E82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F61D4"/>
    <w:rsid w:val="2B152267"/>
    <w:rsid w:val="2DE2CC97"/>
    <w:rsid w:val="4AAFB3D1"/>
    <w:rsid w:val="5E44C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841DD8E2-ABCA-453C-9E29-AAF278DC40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 Light" w:hAnsi="Calibri Light" w:eastAsiaTheme="minorHAnsi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55CBD"/>
    <w:pPr>
      <w:suppressAutoHyphens/>
      <w:spacing w:after="0" w:line="240" w:lineRule="auto"/>
    </w:pPr>
    <w:rPr>
      <w:rFonts w:ascii="Times New Roman" w:hAnsi="Times New Roman" w:eastAsia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3Znak" w:customStyle="1">
    <w:name w:val="Nagłówek 3 Znak"/>
    <w:basedOn w:val="Domylnaczcionkaakapitu"/>
    <w:link w:val="Nagwek3"/>
    <w:rsid w:val="00655CBD"/>
    <w:rPr>
      <w:rFonts w:ascii="Comic Sans MS" w:hAnsi="Comic Sans MS" w:eastAsia="Times New Roman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styleId="StopkaZnak" w:customStyle="1">
    <w:name w:val="Stopka Znak"/>
    <w:basedOn w:val="Domylnaczcionkaakapitu"/>
    <w:link w:val="Stopka"/>
    <w:uiPriority w:val="99"/>
    <w:rsid w:val="00655CBD"/>
    <w:rPr>
      <w:rFonts w:ascii="Times New Roman" w:hAnsi="Times New Roman" w:eastAsia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55CBD"/>
    <w:rPr>
      <w:rFonts w:ascii="Times New Roman" w:hAnsi="Times New Roman" w:eastAsia="Times New Roman" w:cs="Times New Roman"/>
      <w:szCs w:val="24"/>
      <w:lang w:eastAsia="ar-SA"/>
    </w:rPr>
  </w:style>
  <w:style w:type="paragraph" w:styleId="Style17" w:customStyle="1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26D22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hAnsi="Garamond" w:eastAsia="Times New Roman" w:cs="Times New Roman"/>
      <w:szCs w:val="20"/>
      <w:lang w:eastAsia="pl-PL"/>
    </w:rPr>
  </w:style>
  <w:style w:type="character" w:styleId="FontStyle18" w:customStyle="1">
    <w:name w:val="Font Style18"/>
    <w:rsid w:val="00426D22"/>
    <w:rPr>
      <w:rFonts w:hint="default" w:ascii="Arial" w:hAnsi="Arial" w:cs="Arial"/>
      <w:color w:val="000000"/>
      <w:sz w:val="18"/>
      <w:szCs w:val="18"/>
    </w:rPr>
  </w:style>
  <w:style w:type="character" w:styleId="AkapitzlistZnak" w:customStyle="1">
    <w:name w:val="Akapit z listą Znak"/>
    <w:link w:val="Akapitzlist"/>
    <w:uiPriority w:val="34"/>
    <w:rsid w:val="004E268D"/>
    <w:rPr>
      <w:rFonts w:ascii="Times New Roman" w:hAnsi="Times New Roman" w:eastAsia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CE3566-DB6F-4B7A-9B2C-08059A0D73CF}"/>
</file>

<file path=customXml/itemProps2.xml><?xml version="1.0" encoding="utf-8"?>
<ds:datastoreItem xmlns:ds="http://schemas.openxmlformats.org/officeDocument/2006/customXml" ds:itemID="{58FC6B4E-5A4E-4F19-AD13-477FC1917DE0}"/>
</file>

<file path=customXml/itemProps3.xml><?xml version="1.0" encoding="utf-8"?>
<ds:datastoreItem xmlns:ds="http://schemas.openxmlformats.org/officeDocument/2006/customXml" ds:itemID="{95E97825-7208-429A-A62E-AECF7501E3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Grzegorz Porada</dc:creator>
  <keywords/>
  <dc:description/>
  <lastModifiedBy>Sochacka-Kozielczyk, Matylda</lastModifiedBy>
  <revision>8</revision>
  <dcterms:created xsi:type="dcterms:W3CDTF">2026-01-27T12:33:00.0000000Z</dcterms:created>
  <dcterms:modified xsi:type="dcterms:W3CDTF">2026-04-02T11:16:27.7300509Z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